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C108BA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6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2,</w:t>
            </w:r>
            <w:r w:rsidR="00E84239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E84239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E84239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E84239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E84239"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E84239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C108BA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15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6</w:t>
            </w:r>
            <w:r w:rsidR="0030300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84239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10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E1A46" w:rsidRDefault="003E6BDA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50% coinsurance to maximum of </w:t>
            </w:r>
            <w:r w:rsidR="009E1A46">
              <w:rPr>
                <w:rFonts w:ascii="Garamond" w:hAnsi="Garamond" w:cs="Arial"/>
                <w:sz w:val="24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>12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E1A46"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331A8E" w:rsidRPr="00DE0B4B" w:rsidRDefault="003E6BDA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50% coinsurance to maximum of </w:t>
            </w:r>
            <w:r w:rsidR="009E1A46">
              <w:rPr>
                <w:rFonts w:ascii="Garamond" w:hAnsi="Garamond" w:cs="Arial"/>
                <w:sz w:val="24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>24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E1A46">
              <w:rPr>
                <w:rFonts w:ascii="Garamond" w:hAnsi="Garamond" w:cs="Arial"/>
                <w:sz w:val="24"/>
                <w:szCs w:val="24"/>
              </w:rPr>
              <w:t xml:space="preserve">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E8423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5</w:t>
            </w:r>
            <w:r w:rsidR="00E84239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6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have a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 xml:space="preserve">Transplants must be </w:t>
            </w:r>
            <w:r w:rsidR="001A35A1">
              <w:rPr>
                <w:rFonts w:ascii="Garamond" w:hAnsi="Garamond" w:cs="Arial"/>
                <w:sz w:val="24"/>
                <w:szCs w:val="24"/>
              </w:rPr>
              <w:lastRenderedPageBreak/>
              <w:t>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E84239" w:rsidP="00E8423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E84239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</w:t>
            </w:r>
            <w:r w:rsidR="006A40E8">
              <w:rPr>
                <w:rFonts w:ascii="Garamond" w:hAnsi="Garamond" w:cs="Arial"/>
                <w:sz w:val="24"/>
                <w:szCs w:val="24"/>
              </w:rPr>
              <w:lastRenderedPageBreak/>
              <w:t>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E8423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E842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E84239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E84239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E84239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E84239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E84239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E84239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E84239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3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C108BA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Managing type 2 diabetes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Having a baby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C108BA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C108BA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65pt;height:45.4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E84239">
        <w:rPr>
          <w:rFonts w:ascii="Arial" w:hAnsi="Arial" w:cs="Arial"/>
          <w:sz w:val="24"/>
          <w:szCs w:val="24"/>
        </w:rPr>
        <w:t>942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3E6BDA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E84239">
        <w:rPr>
          <w:rFonts w:ascii="Arial" w:hAnsi="Arial" w:cs="Arial"/>
          <w:sz w:val="24"/>
          <w:szCs w:val="24"/>
        </w:rPr>
        <w:t>598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E84239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2,</w:t>
            </w:r>
            <w:r w:rsidR="00E84239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E84239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E84239">
              <w:rPr>
                <w:rFonts w:ascii="Garamond" w:hAnsi="Garamond"/>
                <w:color w:val="000000"/>
                <w:sz w:val="24"/>
                <w:szCs w:val="24"/>
              </w:rPr>
              <w:t>925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E84239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3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E84239">
              <w:rPr>
                <w:rFonts w:ascii="Garamond" w:hAnsi="Garamond"/>
                <w:b/>
                <w:color w:val="000000"/>
                <w:sz w:val="24"/>
                <w:szCs w:val="24"/>
              </w:rPr>
              <w:t>598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877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523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412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E6BDA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014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3E6BDA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523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C108BA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C108BA">
                  <w:rPr>
                    <w:rFonts w:ascii="Arial" w:hAnsi="Arial" w:cs="Arial"/>
                    <w:b/>
                    <w:noProof/>
                    <w:color w:val="0775A8"/>
                  </w:rPr>
                  <w:t>1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C108BA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C108BA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C108BA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</w:t>
    </w:r>
    <w:r w:rsidR="00BD6A41">
      <w:rPr>
        <w:rFonts w:ascii="Arial" w:hAnsi="Arial" w:cs="Arial"/>
        <w:b/>
        <w:color w:val="0775A8"/>
        <w:sz w:val="36"/>
        <w:szCs w:val="40"/>
      </w:rPr>
      <w:t xml:space="preserve">Silver </w:t>
    </w:r>
    <w:r w:rsidR="00E84239">
      <w:rPr>
        <w:rFonts w:ascii="Arial" w:hAnsi="Arial" w:cs="Arial"/>
        <w:b/>
        <w:color w:val="0775A8"/>
        <w:sz w:val="36"/>
        <w:szCs w:val="40"/>
      </w:rPr>
      <w:t>Premier</w:t>
    </w:r>
    <w:r w:rsidR="00BD6A41">
      <w:rPr>
        <w:rFonts w:ascii="Arial" w:hAnsi="Arial" w:cs="Arial"/>
        <w:b/>
        <w:color w:val="0775A8"/>
        <w:sz w:val="36"/>
        <w:szCs w:val="40"/>
      </w:rPr>
      <w:t xml:space="preserve">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C108BA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BD6A41">
      <w:rPr>
        <w:rFonts w:ascii="Arial" w:hAnsi="Arial" w:cs="Arial"/>
        <w:sz w:val="24"/>
        <w:szCs w:val="24"/>
      </w:rPr>
      <w:t>S</w:t>
    </w:r>
    <w:r w:rsidR="003E5AF7"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A00</w:t>
    </w:r>
    <w:r w:rsidR="00E84239">
      <w:rPr>
        <w:rFonts w:ascii="Arial" w:hAnsi="Arial" w:cs="Arial"/>
        <w:sz w:val="24"/>
        <w:szCs w:val="24"/>
      </w:rPr>
      <w:t>1</w:t>
    </w:r>
    <w:r w:rsidR="003A3EA1">
      <w:rPr>
        <w:rFonts w:ascii="Arial" w:hAnsi="Arial" w:cs="Arial"/>
        <w:sz w:val="24"/>
        <w:szCs w:val="24"/>
      </w:rPr>
      <w:t>00-RX08</w:t>
    </w:r>
    <w:r w:rsidR="003E5AF7">
      <w:rPr>
        <w:rFonts w:ascii="Arial" w:hAnsi="Arial" w:cs="Arial"/>
        <w:sz w:val="24"/>
        <w:szCs w:val="24"/>
      </w:rPr>
      <w:t>E</w:t>
    </w:r>
    <w:r w:rsidR="003A3EA1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DateAndTime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039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6CD4"/>
    <w:rsid w:val="001F718B"/>
    <w:rsid w:val="00200A36"/>
    <w:rsid w:val="00203422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3008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595F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28D1"/>
    <w:rsid w:val="003A2B87"/>
    <w:rsid w:val="003A3EA1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5AF7"/>
    <w:rsid w:val="003E619F"/>
    <w:rsid w:val="003E6BDA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050F7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4F2F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18F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D6A41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08BA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C67AF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774E4"/>
    <w:rsid w:val="00E832B9"/>
    <w:rsid w:val="00E83874"/>
    <w:rsid w:val="00E84239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52CB"/>
    <w:rsid w:val="00EC6903"/>
    <w:rsid w:val="00ED1BC6"/>
    <w:rsid w:val="00ED2223"/>
    <w:rsid w:val="00ED304F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igan.gov/dif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05DF-F92D-46FA-9072-20FB0A37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13125</Characters>
  <Application>Microsoft Office Word</Application>
  <DocSecurity>0</DocSecurity>
  <Lines>596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15101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5</cp:revision>
  <cp:lastPrinted>2015-10-01T21:05:00Z</cp:lastPrinted>
  <dcterms:created xsi:type="dcterms:W3CDTF">2015-10-01T21:04:00Z</dcterms:created>
  <dcterms:modified xsi:type="dcterms:W3CDTF">2015-10-05T15:38:00Z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